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3ECA" w14:textId="652D6F35" w:rsidR="00940C38" w:rsidRDefault="0079140F" w:rsidP="00940C38">
      <w:pPr>
        <w:pStyle w:val="KeinLeerraum"/>
        <w:rPr>
          <w:sz w:val="28"/>
          <w:szCs w:val="28"/>
        </w:rPr>
      </w:pPr>
      <w:r w:rsidRPr="00D144BC">
        <w:rPr>
          <w:sz w:val="28"/>
          <w:szCs w:val="28"/>
        </w:rPr>
        <w:t xml:space="preserve">Anhang </w:t>
      </w:r>
      <w:r w:rsidR="00AD6B55">
        <w:rPr>
          <w:sz w:val="28"/>
          <w:szCs w:val="28"/>
        </w:rPr>
        <w:t xml:space="preserve">1 </w:t>
      </w:r>
      <w:r w:rsidRPr="00D144BC">
        <w:rPr>
          <w:sz w:val="28"/>
          <w:szCs w:val="28"/>
        </w:rPr>
        <w:t>zur Spielordnung der Spielgemeinschaft HHV-SHHV (SpO HHV-SHHV)</w:t>
      </w:r>
      <w:r w:rsidR="005E5C23" w:rsidRPr="00D144BC">
        <w:rPr>
          <w:sz w:val="28"/>
          <w:szCs w:val="28"/>
        </w:rPr>
        <w:t xml:space="preserve"> (zu §14 Abs. 3, 4, 5, 7, 9, </w:t>
      </w:r>
      <w:r w:rsidR="008C0764" w:rsidRPr="00D144BC">
        <w:rPr>
          <w:sz w:val="28"/>
          <w:szCs w:val="28"/>
        </w:rPr>
        <w:t>§26 Abs. 1</w:t>
      </w:r>
      <w:r w:rsidR="00D144BC" w:rsidRPr="00D144BC">
        <w:rPr>
          <w:sz w:val="28"/>
          <w:szCs w:val="28"/>
        </w:rPr>
        <w:t>)</w:t>
      </w:r>
      <w:r w:rsidRPr="00D144BC">
        <w:rPr>
          <w:sz w:val="28"/>
          <w:szCs w:val="28"/>
        </w:rPr>
        <w:t>:</w:t>
      </w:r>
    </w:p>
    <w:p w14:paraId="0EEA0C82" w14:textId="77777777" w:rsidR="00D144BC" w:rsidRPr="00D144BC" w:rsidRDefault="00D144BC" w:rsidP="00940C38">
      <w:pPr>
        <w:pStyle w:val="KeinLeerraum"/>
        <w:rPr>
          <w:sz w:val="28"/>
          <w:szCs w:val="28"/>
        </w:rPr>
      </w:pPr>
    </w:p>
    <w:p w14:paraId="4B9A03C8" w14:textId="7BEF5D61" w:rsidR="0079140F" w:rsidRPr="00D144BC" w:rsidRDefault="0079140F" w:rsidP="00940C38">
      <w:pPr>
        <w:pStyle w:val="KeinLeerraum"/>
        <w:rPr>
          <w:sz w:val="28"/>
          <w:szCs w:val="28"/>
        </w:rPr>
      </w:pPr>
      <w:r w:rsidRPr="00D144BC">
        <w:rPr>
          <w:sz w:val="28"/>
          <w:szCs w:val="28"/>
        </w:rPr>
        <w:t>Besonderheiten aufgrund der COVID-19-Pandemie in der Hallenhockeysaison 2020-2021</w:t>
      </w:r>
    </w:p>
    <w:p w14:paraId="01EA509A" w14:textId="1522C538" w:rsidR="0079140F" w:rsidRDefault="0079140F" w:rsidP="00940C38">
      <w:pPr>
        <w:pStyle w:val="KeinLeerraum"/>
      </w:pPr>
    </w:p>
    <w:p w14:paraId="6B15A767" w14:textId="0EC4E0AC" w:rsidR="00D144BC" w:rsidRDefault="00D144BC" w:rsidP="00037865">
      <w:pPr>
        <w:numPr>
          <w:ilvl w:val="0"/>
          <w:numId w:val="7"/>
        </w:numPr>
        <w:jc w:val="both"/>
        <w:rPr>
          <w:rFonts w:eastAsia="Times New Roman"/>
        </w:rPr>
      </w:pPr>
      <w:r w:rsidRPr="004626F0">
        <w:rPr>
          <w:rFonts w:eastAsia="Times New Roman"/>
        </w:rPr>
        <w:t xml:space="preserve">Die Hallensaison 2020-2021 wird </w:t>
      </w:r>
      <w:r w:rsidRPr="004626F0">
        <w:rPr>
          <w:rFonts w:eastAsia="Times New Roman"/>
          <w:bCs/>
        </w:rPr>
        <w:t>auf freiwilliger Basis ohne Sanktionen</w:t>
      </w:r>
      <w:r w:rsidRPr="004626F0">
        <w:rPr>
          <w:rFonts w:eastAsia="Times New Roman"/>
        </w:rPr>
        <w:t xml:space="preserve"> für Nichtteilnehmer am Ligabetrieb durchgeführt. </w:t>
      </w:r>
      <w:r w:rsidR="004D5B92">
        <w:rPr>
          <w:rFonts w:eastAsia="Times New Roman"/>
        </w:rPr>
        <w:t xml:space="preserve">Die </w:t>
      </w:r>
      <w:r w:rsidRPr="004626F0">
        <w:rPr>
          <w:rFonts w:eastAsia="Times New Roman"/>
        </w:rPr>
        <w:t>Freiwilligkeit bezieht sich auf die grundsätzliche Teilnahme am Spielbetrieb (und nicht auf die freiwillige Durchführung einzelner Spiele).</w:t>
      </w:r>
    </w:p>
    <w:p w14:paraId="31EBF157" w14:textId="16A6B899" w:rsidR="004D5B92" w:rsidRPr="004D5B92" w:rsidRDefault="004D5B92" w:rsidP="004D5B92">
      <w:pPr>
        <w:pStyle w:val="Listenabsatz"/>
        <w:numPr>
          <w:ilvl w:val="0"/>
          <w:numId w:val="7"/>
        </w:numPr>
        <w:spacing w:after="160" w:line="259" w:lineRule="auto"/>
        <w:contextualSpacing/>
        <w:jc w:val="both"/>
      </w:pPr>
      <w:r w:rsidRPr="004626F0">
        <w:rPr>
          <w:rFonts w:eastAsia="Times New Roman"/>
        </w:rPr>
        <w:t>Es wird keine Absteiger in den Regional-, Oberliga- und Verbandsligen geben. Mannschaften, die</w:t>
      </w:r>
      <w:r w:rsidRPr="004626F0">
        <w:t xml:space="preserve"> in der Hallenrunde nicht spielen, steigen nicht ab.</w:t>
      </w:r>
    </w:p>
    <w:p w14:paraId="72C5C000" w14:textId="1C49FC80" w:rsidR="00D144BC" w:rsidRPr="00BD0289" w:rsidRDefault="00D144BC" w:rsidP="00037865">
      <w:pPr>
        <w:pStyle w:val="Listenabsatz"/>
        <w:numPr>
          <w:ilvl w:val="0"/>
          <w:numId w:val="7"/>
        </w:numPr>
        <w:spacing w:after="160" w:line="259" w:lineRule="auto"/>
        <w:contextualSpacing/>
        <w:jc w:val="both"/>
      </w:pPr>
      <w:r w:rsidRPr="004626F0">
        <w:rPr>
          <w:rFonts w:eastAsia="Times New Roman"/>
        </w:rPr>
        <w:t xml:space="preserve">Ein Aufstieg in die nächsthöhere Liga auf Verbandsebene </w:t>
      </w:r>
      <w:r w:rsidR="00037865" w:rsidRPr="004626F0">
        <w:rPr>
          <w:rFonts w:eastAsia="Times New Roman"/>
        </w:rPr>
        <w:t xml:space="preserve">und in die Regionalliga </w:t>
      </w:r>
      <w:r w:rsidRPr="004626F0">
        <w:rPr>
          <w:rFonts w:eastAsia="Times New Roman"/>
        </w:rPr>
        <w:t>ist möglich.</w:t>
      </w:r>
    </w:p>
    <w:p w14:paraId="5D68783D" w14:textId="7B7D6C6B" w:rsidR="00BD0289" w:rsidRPr="004626F0" w:rsidRDefault="00BD0289" w:rsidP="00BD0289">
      <w:pPr>
        <w:pStyle w:val="Listenabsatz"/>
        <w:numPr>
          <w:ilvl w:val="0"/>
          <w:numId w:val="7"/>
        </w:numPr>
        <w:spacing w:after="160" w:line="259" w:lineRule="auto"/>
        <w:contextualSpacing/>
        <w:jc w:val="both"/>
      </w:pPr>
      <w:r>
        <w:t>Aufsteiger werden nur ausgespielt, wenn mindestens 50% der Mannschaften am Spielbetrieb teilnehmen und die Saison zu Ende gespielt werden kann.</w:t>
      </w:r>
    </w:p>
    <w:p w14:paraId="5B3C3970" w14:textId="7E2512EE" w:rsidR="00037865" w:rsidRDefault="00037865" w:rsidP="00037865">
      <w:pPr>
        <w:pStyle w:val="Listenabsatz"/>
        <w:numPr>
          <w:ilvl w:val="0"/>
          <w:numId w:val="7"/>
        </w:numPr>
        <w:jc w:val="both"/>
        <w:rPr>
          <w:rFonts w:eastAsia="Times New Roman"/>
        </w:rPr>
      </w:pPr>
      <w:r>
        <w:rPr>
          <w:rFonts w:eastAsia="Times New Roman"/>
        </w:rPr>
        <w:t>Sollte es erforderlich sein, wird beim Aufstieg einer Mannschaft in die höhere Klasse in der nächsten Hallenhockeysaison mit einer Mannschaft mehr und zwei Absteigern gespielt.</w:t>
      </w:r>
    </w:p>
    <w:p w14:paraId="6AA87277" w14:textId="77777777" w:rsidR="00037865" w:rsidRPr="00037865" w:rsidRDefault="00037865" w:rsidP="00037865">
      <w:pPr>
        <w:spacing w:after="160" w:line="259" w:lineRule="auto"/>
        <w:contextualSpacing/>
        <w:jc w:val="both"/>
      </w:pPr>
    </w:p>
    <w:p w14:paraId="3C8342F8" w14:textId="12AD0A73" w:rsidR="00D144BC" w:rsidRDefault="00D144BC" w:rsidP="00940C38">
      <w:pPr>
        <w:pStyle w:val="KeinLeerraum"/>
      </w:pPr>
    </w:p>
    <w:p w14:paraId="47617444" w14:textId="77777777" w:rsidR="00D144BC" w:rsidRPr="0025482E" w:rsidRDefault="00D144BC" w:rsidP="00D144BC">
      <w:pPr>
        <w:pStyle w:val="KeinLeerraum"/>
        <w:rPr>
          <w:sz w:val="28"/>
          <w:szCs w:val="28"/>
        </w:rPr>
      </w:pPr>
      <w:r w:rsidRPr="0025482E">
        <w:rPr>
          <w:sz w:val="28"/>
          <w:szCs w:val="28"/>
        </w:rPr>
        <w:t>Ergänzung §31 Abschnitt II Abs. 9 Hallenaufsicht:</w:t>
      </w:r>
    </w:p>
    <w:p w14:paraId="70E39B1E" w14:textId="77777777" w:rsidR="008652B3" w:rsidRDefault="008652B3" w:rsidP="00D144BC">
      <w:pPr>
        <w:pStyle w:val="KeinLeerraum"/>
        <w:jc w:val="both"/>
      </w:pPr>
    </w:p>
    <w:p w14:paraId="00B63B22" w14:textId="75BB5AFF" w:rsidR="00D144BC" w:rsidRDefault="00D144BC" w:rsidP="00D144BC">
      <w:pPr>
        <w:pStyle w:val="KeinLeerraum"/>
        <w:jc w:val="both"/>
      </w:pPr>
      <w:r>
        <w:t xml:space="preserve">Der </w:t>
      </w:r>
      <w:r w:rsidR="008652B3">
        <w:t>mit Veröffentlichung des</w:t>
      </w:r>
      <w:r>
        <w:t xml:space="preserve"> Spielplan</w:t>
      </w:r>
      <w:r w:rsidR="008652B3">
        <w:t>s</w:t>
      </w:r>
      <w:r>
        <w:t xml:space="preserve"> für die Hallenaufsicht eingeteilte Verein ist verantwortlich für </w:t>
      </w:r>
      <w:r w:rsidR="004626F0">
        <w:t xml:space="preserve">die Einhaltung der Hallenordnung durch alle Nutzer und Besucher sowie </w:t>
      </w:r>
      <w:r>
        <w:t xml:space="preserve">eine mängelfreie Übergabe oder ein mängelfreies Hinterlassen der Halle. Zur Beweissicherung wird dringend empfohlen, den Zustand </w:t>
      </w:r>
      <w:r w:rsidR="008652B3">
        <w:t xml:space="preserve">der Halle und ihrer Nebenräume (Umkleide-, WC-Räume etc.) </w:t>
      </w:r>
      <w:r>
        <w:t>sowohl bei der Übernahme als auch zum Zeitpunkt der Übergabe oder des Hinterlassens der Halle in Form von Lichtbildern oder Video-Aufnahmen zu dokumentieren. Die Beweislast für die ordnungsgemäße, mangelfreie Übergabe der Halle liegt allein bei dem als Ausrichter eingeteilten Verein.</w:t>
      </w:r>
    </w:p>
    <w:p w14:paraId="5B3942C7" w14:textId="3EC3BC9C" w:rsidR="004626F0" w:rsidRDefault="004626F0" w:rsidP="00D144BC">
      <w:pPr>
        <w:pStyle w:val="KeinLeerraum"/>
        <w:jc w:val="both"/>
      </w:pPr>
    </w:p>
    <w:p w14:paraId="76279139" w14:textId="40D00CFA" w:rsidR="004626F0" w:rsidRDefault="004626F0" w:rsidP="00D144BC">
      <w:pPr>
        <w:pStyle w:val="KeinLeerraum"/>
        <w:jc w:val="both"/>
      </w:pPr>
      <w:r w:rsidRPr="00AD6B55">
        <w:t>Das jeweils gültige Hygienekonzept ist Bestandteil der Hallenordnung und von der Hallenaufsicht einzuhalten und umzusetzen.</w:t>
      </w:r>
    </w:p>
    <w:sectPr w:rsidR="004626F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794D" w14:textId="77777777" w:rsidR="00BA47FA" w:rsidRDefault="00BA47FA" w:rsidP="00BA47FA">
      <w:r>
        <w:separator/>
      </w:r>
    </w:p>
  </w:endnote>
  <w:endnote w:type="continuationSeparator" w:id="0">
    <w:p w14:paraId="1FC66D2E" w14:textId="77777777" w:rsidR="00BA47FA" w:rsidRDefault="00BA47FA" w:rsidP="00BA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C4D1" w14:textId="01FF605C" w:rsidR="00E5698D" w:rsidRDefault="00E5698D">
    <w:pPr>
      <w:pStyle w:val="Fuzeile"/>
    </w:pPr>
    <w:r>
      <w:t>Stand: 1.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F37D" w14:textId="77777777" w:rsidR="00BA47FA" w:rsidRDefault="00BA47FA" w:rsidP="00BA47FA">
      <w:r>
        <w:separator/>
      </w:r>
    </w:p>
  </w:footnote>
  <w:footnote w:type="continuationSeparator" w:id="0">
    <w:p w14:paraId="3FD896D2" w14:textId="77777777" w:rsidR="00BA47FA" w:rsidRDefault="00BA47FA" w:rsidP="00BA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B37C8"/>
    <w:multiLevelType w:val="hybridMultilevel"/>
    <w:tmpl w:val="587027FC"/>
    <w:lvl w:ilvl="0" w:tplc="79EA9A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DE2A6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C45A594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79682F4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F20A5A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D2B86A2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47A7AC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BB4E54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BF49E1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796321A"/>
    <w:multiLevelType w:val="hybridMultilevel"/>
    <w:tmpl w:val="A2C04FA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AC3146"/>
    <w:multiLevelType w:val="hybridMultilevel"/>
    <w:tmpl w:val="6732745C"/>
    <w:lvl w:ilvl="0" w:tplc="FF60C4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42572"/>
    <w:multiLevelType w:val="hybridMultilevel"/>
    <w:tmpl w:val="5D62EC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54FA0"/>
    <w:multiLevelType w:val="hybridMultilevel"/>
    <w:tmpl w:val="D5DA870E"/>
    <w:lvl w:ilvl="0" w:tplc="79EA9A4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38"/>
    <w:rsid w:val="00037865"/>
    <w:rsid w:val="0025482E"/>
    <w:rsid w:val="00282E6A"/>
    <w:rsid w:val="003130C5"/>
    <w:rsid w:val="004626F0"/>
    <w:rsid w:val="004D5B92"/>
    <w:rsid w:val="00554262"/>
    <w:rsid w:val="00586365"/>
    <w:rsid w:val="005E5C23"/>
    <w:rsid w:val="0079140F"/>
    <w:rsid w:val="008652B3"/>
    <w:rsid w:val="008C0764"/>
    <w:rsid w:val="00940C38"/>
    <w:rsid w:val="00AD6B55"/>
    <w:rsid w:val="00BA47FA"/>
    <w:rsid w:val="00BD0289"/>
    <w:rsid w:val="00D144BC"/>
    <w:rsid w:val="00E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FF269"/>
  <w15:chartTrackingRefBased/>
  <w15:docId w15:val="{00CE4976-91DD-4CAA-AC5B-F3A10DE1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C3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0C3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0C38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BA47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47FA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47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47FA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Schütte</dc:creator>
  <cp:keywords/>
  <dc:description/>
  <cp:lastModifiedBy>Michael Schütte</cp:lastModifiedBy>
  <cp:revision>4</cp:revision>
  <dcterms:created xsi:type="dcterms:W3CDTF">2020-10-23T11:08:00Z</dcterms:created>
  <dcterms:modified xsi:type="dcterms:W3CDTF">2020-10-23T12:37:00Z</dcterms:modified>
</cp:coreProperties>
</file>